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B" w:rsidRPr="00DD1FF3" w:rsidRDefault="002A4B0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2956" cy="9175898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7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30CB" w:rsidRPr="00DD1FF3">
        <w:rPr>
          <w:rFonts w:ascii="Times New Roman" w:hAnsi="Times New Roman"/>
          <w:sz w:val="24"/>
          <w:szCs w:val="24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88432E" w:rsidRDefault="004A3FCC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1.1.2. нормативными правовыми актами субъекта РФ</w:t>
      </w:r>
      <w:r w:rsidR="00DD1FF3">
        <w:rPr>
          <w:rFonts w:ascii="Times New Roman" w:hAnsi="Times New Roman"/>
          <w:sz w:val="24"/>
          <w:szCs w:val="24"/>
        </w:rPr>
        <w:tab/>
      </w:r>
    </w:p>
    <w:p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6E01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="004D108A" w:rsidRPr="00DD04B5">
        <w:rPr>
          <w:rFonts w:ascii="Times New Roman" w:hAnsi="Times New Roman"/>
          <w:sz w:val="24"/>
          <w:szCs w:val="24"/>
        </w:rPr>
        <w:t xml:space="preserve">(далее – </w:t>
      </w:r>
      <w:r w:rsidRPr="00DD04B5">
        <w:rPr>
          <w:rFonts w:ascii="Times New Roman" w:hAnsi="Times New Roman"/>
          <w:sz w:val="24"/>
          <w:szCs w:val="24"/>
        </w:rPr>
        <w:t>О</w:t>
      </w:r>
      <w:r w:rsidR="00BB6E01">
        <w:rPr>
          <w:rFonts w:ascii="Times New Roman" w:hAnsi="Times New Roman"/>
          <w:sz w:val="24"/>
          <w:szCs w:val="24"/>
        </w:rPr>
        <w:t>У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5151A" w:rsidRPr="00A748F4">
        <w:rPr>
          <w:rFonts w:ascii="Times New Roman" w:hAnsi="Times New Roman"/>
          <w:sz w:val="24"/>
          <w:szCs w:val="24"/>
        </w:rPr>
        <w:t>Положениями об органах коллегиального управления О</w:t>
      </w:r>
      <w:r w:rsidR="00BB6E01">
        <w:rPr>
          <w:rFonts w:ascii="Times New Roman" w:hAnsi="Times New Roman"/>
          <w:sz w:val="24"/>
          <w:szCs w:val="24"/>
        </w:rPr>
        <w:t>У</w:t>
      </w:r>
      <w:r w:rsidR="006130CB">
        <w:rPr>
          <w:rStyle w:val="a9"/>
          <w:rFonts w:ascii="Times New Roman" w:hAnsi="Times New Roman"/>
          <w:sz w:val="24"/>
          <w:szCs w:val="24"/>
        </w:rPr>
        <w:footnoteReference w:id="1"/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образовательных программ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75151A" w:rsidRPr="00A748F4">
        <w:rPr>
          <w:rFonts w:ascii="Times New Roman" w:hAnsi="Times New Roman"/>
          <w:sz w:val="24"/>
          <w:szCs w:val="24"/>
        </w:rPr>
        <w:t>(</w:t>
      </w:r>
      <w:r w:rsidR="004A3FCC" w:rsidRPr="00A748F4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="0075151A" w:rsidRPr="00A748F4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75151A" w:rsidRPr="00A748F4">
        <w:rPr>
          <w:rFonts w:ascii="Times New Roman" w:hAnsi="Times New Roman"/>
          <w:sz w:val="24"/>
          <w:szCs w:val="24"/>
        </w:rPr>
        <w:t xml:space="preserve">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, их перевод в следующий класс </w:t>
      </w:r>
      <w:r w:rsidRPr="00A748F4">
        <w:rPr>
          <w:rFonts w:ascii="Times New Roman" w:hAnsi="Times New Roman"/>
          <w:sz w:val="24"/>
          <w:szCs w:val="24"/>
        </w:rPr>
        <w:lastRenderedPageBreak/>
        <w:t xml:space="preserve">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котором(ой)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</w:t>
      </w:r>
      <w:r w:rsidR="0006574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>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</w:t>
      </w:r>
      <w:r w:rsidR="0006574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, отчета о </w:t>
      </w:r>
      <w:proofErr w:type="spellStart"/>
      <w:r w:rsidRPr="00A748F4">
        <w:rPr>
          <w:rFonts w:ascii="Times New Roman" w:hAnsi="Times New Roman"/>
          <w:sz w:val="24"/>
          <w:szCs w:val="24"/>
        </w:rPr>
        <w:t>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коррекции рабочих программ учебных предметов, курсов, дисциплин (модулей) в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неуспеваемости;</w:t>
      </w:r>
    </w:p>
    <w:p w:rsidR="004A3FCC" w:rsidRPr="0088432E" w:rsidRDefault="00BB6E01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06574A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четвертям/</w:t>
      </w:r>
      <w:r w:rsidR="00C05FBC">
        <w:rPr>
          <w:rFonts w:ascii="Times New Roman" w:hAnsi="Times New Roman"/>
          <w:sz w:val="24"/>
          <w:szCs w:val="24"/>
        </w:rPr>
        <w:t>с</w:t>
      </w:r>
      <w:r w:rsidR="004A3FCC" w:rsidRPr="00C05FBC">
        <w:rPr>
          <w:rFonts w:ascii="Times New Roman" w:hAnsi="Times New Roman"/>
          <w:sz w:val="24"/>
          <w:szCs w:val="24"/>
        </w:rPr>
        <w:t>еместрам и (или) полугодиям;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четвертям/семестрам – во 2-9-х классах по предметам с недельной нагрузкой более 1 часа;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четвертям/семестрам – 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F2259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E535CE" w:rsidRPr="007B2EAF">
        <w:rPr>
          <w:rFonts w:ascii="Times New Roman" w:hAnsi="Times New Roman"/>
          <w:sz w:val="24"/>
          <w:szCs w:val="24"/>
        </w:rPr>
        <w:t>по предметам учебного плана в объеме не менее 0,5 часа</w:t>
      </w:r>
      <w:r w:rsidR="00327F06" w:rsidRPr="007B2E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27F06" w:rsidRPr="007B2EAF">
        <w:rPr>
          <w:rFonts w:ascii="Times New Roman" w:hAnsi="Times New Roman"/>
          <w:sz w:val="24"/>
          <w:szCs w:val="24"/>
        </w:rPr>
        <w:t>нед</w:t>
      </w:r>
      <w:proofErr w:type="spellEnd"/>
      <w:r w:rsidR="00327F06" w:rsidRPr="007B2EAF">
        <w:rPr>
          <w:rFonts w:ascii="Times New Roman" w:hAnsi="Times New Roman"/>
          <w:sz w:val="24"/>
          <w:szCs w:val="24"/>
        </w:rPr>
        <w:t>.</w:t>
      </w:r>
      <w:r w:rsidR="00327F06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("зачтено") по учебным предметам, курсам, дисциплинам (модулям);</w:t>
      </w:r>
    </w:p>
    <w:p w:rsidR="00F97324" w:rsidRPr="0088432E" w:rsidRDefault="00DD1FF3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</w:t>
      </w:r>
      <w:r w:rsidRPr="00A748F4">
        <w:rPr>
          <w:rFonts w:ascii="Times New Roman" w:hAnsi="Times New Roman"/>
          <w:sz w:val="24"/>
          <w:szCs w:val="24"/>
        </w:rPr>
        <w:lastRenderedPageBreak/>
        <w:t>определенным Положением о системе оценивания</w:t>
      </w:r>
      <w:r w:rsidR="00F97324" w:rsidRPr="00A748F4">
        <w:rPr>
          <w:rFonts w:ascii="Times New Roman" w:hAnsi="Times New Roman"/>
          <w:sz w:val="24"/>
          <w:szCs w:val="24"/>
        </w:rPr>
        <w:t xml:space="preserve"> учебных достижений обучающихся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8B3C7C">
        <w:rPr>
          <w:rStyle w:val="a9"/>
        </w:rPr>
        <w:footnoteReference w:id="2"/>
      </w:r>
      <w:r w:rsidR="00066932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организацией</w:t>
      </w:r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четвертных/семестровых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четверть/семестр/полугодие:</w:t>
      </w:r>
    </w:p>
    <w:p w:rsidR="004E349A" w:rsidRPr="0088432E" w:rsidRDefault="00DD1FF3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2/3 или </w:t>
      </w:r>
      <w:r w:rsidR="004E349A">
        <w:rPr>
          <w:rFonts w:ascii="Times New Roman" w:hAnsi="Times New Roman"/>
          <w:sz w:val="24"/>
          <w:szCs w:val="24"/>
        </w:rPr>
        <w:t xml:space="preserve">_________ </w:t>
      </w:r>
      <w:r w:rsidR="004A3FCC" w:rsidRPr="00A748F4">
        <w:rPr>
          <w:rFonts w:ascii="Times New Roman" w:hAnsi="Times New Roman"/>
          <w:sz w:val="24"/>
          <w:szCs w:val="24"/>
        </w:rPr>
        <w:t>учебного времени, отметка за четверть/семестр/полугодие не выставляется</w:t>
      </w:r>
      <w:r w:rsidR="004E349A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="004E349A"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4E349A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обучающихся осуществляется в индивидуальном порядке администрацией О</w:t>
      </w:r>
      <w:r w:rsidR="0006574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</w:t>
      </w:r>
      <w:r w:rsidR="0006574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четверть/семестр/полугодие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осуществляемого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>/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поурочноза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DD1A95" w:rsidRPr="00DD1A95">
        <w:rPr>
          <w:rFonts w:ascii="Times New Roman" w:hAnsi="Times New Roman"/>
          <w:sz w:val="24"/>
          <w:szCs w:val="24"/>
        </w:rPr>
        <w:t>______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4A3FCC"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 w:rsidR="0006574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88432E" w:rsidRDefault="004A3FCC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четверть/семестр/полугодие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>9-х классах О</w:t>
      </w:r>
      <w:r w:rsidR="00BB6E01">
        <w:rPr>
          <w:rFonts w:ascii="Times New Roman" w:hAnsi="Times New Roman"/>
          <w:sz w:val="24"/>
          <w:szCs w:val="24"/>
        </w:rPr>
        <w:t>У</w:t>
      </w:r>
      <w:r w:rsidR="0006574A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F97324" w:rsidRPr="00A748F4">
        <w:rPr>
          <w:rFonts w:ascii="Times New Roman" w:hAnsi="Times New Roman"/>
          <w:sz w:val="24"/>
          <w:szCs w:val="24"/>
        </w:rPr>
        <w:t xml:space="preserve"> </w:t>
      </w:r>
    </w:p>
    <w:p w:rsidR="008D56F1" w:rsidRPr="0088432E" w:rsidRDefault="004A3FCC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</w:t>
      </w:r>
      <w:r w:rsidR="00BB6E01">
        <w:rPr>
          <w:rFonts w:ascii="Times New Roman" w:hAnsi="Times New Roman"/>
          <w:sz w:val="24"/>
          <w:szCs w:val="24"/>
        </w:rPr>
        <w:t xml:space="preserve">ения </w:t>
      </w:r>
    </w:p>
    <w:p w:rsidR="004A3FCC" w:rsidRPr="00BB6E01" w:rsidRDefault="00F97324" w:rsidP="00BB6E01">
      <w:pPr>
        <w:widowControl w:val="0"/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обучающихся в О</w:t>
      </w:r>
      <w:r w:rsidR="00BB6E01">
        <w:rPr>
          <w:rFonts w:ascii="Times New Roman" w:hAnsi="Times New Roman"/>
          <w:sz w:val="24"/>
          <w:szCs w:val="24"/>
        </w:rPr>
        <w:t xml:space="preserve">У </w:t>
      </w:r>
      <w:r w:rsidRPr="00A748F4">
        <w:rPr>
          <w:rFonts w:ascii="Times New Roman" w:hAnsi="Times New Roman"/>
          <w:sz w:val="24"/>
          <w:szCs w:val="24"/>
        </w:rPr>
        <w:t>осуществляется</w:t>
      </w:r>
      <w:r w:rsidR="00BB6E01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согласно </w:t>
      </w:r>
      <w:r w:rsidR="00BB6E01">
        <w:rPr>
          <w:rFonts w:ascii="Times New Roman" w:hAnsi="Times New Roman"/>
          <w:sz w:val="24"/>
          <w:szCs w:val="24"/>
        </w:rPr>
        <w:t>Положению о внеурочной деятельности.</w:t>
      </w:r>
      <w:r w:rsidR="00772C65" w:rsidRPr="00BB6E01">
        <w:rPr>
          <w:rFonts w:ascii="Times New Roman" w:hAnsi="Times New Roman"/>
          <w:sz w:val="24"/>
          <w:szCs w:val="24"/>
        </w:rPr>
        <w:t xml:space="preserve"> </w:t>
      </w:r>
    </w:p>
    <w:p w:rsidR="006C08A4" w:rsidRDefault="006C08A4" w:rsidP="006C08A4">
      <w:pPr>
        <w:pStyle w:val="af4"/>
        <w:jc w:val="center"/>
        <w:rPr>
          <w:rFonts w:ascii="Times New Roman" w:hAnsi="Times New Roman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3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основной образовательной программой (по уровням общего образования)</w:t>
      </w:r>
      <w:r w:rsidR="00646494" w:rsidRPr="00DD1FF3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(учебным(и) планом(</w:t>
      </w:r>
      <w:proofErr w:type="spellStart"/>
      <w:r w:rsidR="00AC413F" w:rsidRPr="00DD1FF3">
        <w:rPr>
          <w:rFonts w:ascii="Times New Roman" w:hAnsi="Times New Roman"/>
          <w:sz w:val="24"/>
          <w:szCs w:val="24"/>
        </w:rPr>
        <w:t>ами</w:t>
      </w:r>
      <w:proofErr w:type="spellEnd"/>
      <w:r w:rsidR="00AC413F" w:rsidRPr="00DD1FF3">
        <w:rPr>
          <w:rFonts w:ascii="Times New Roman" w:hAnsi="Times New Roman"/>
          <w:sz w:val="24"/>
          <w:szCs w:val="24"/>
        </w:rPr>
        <w:t>)).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в форме итогового контроля 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 xml:space="preserve">а основании решения педагогического совета </w:t>
      </w:r>
      <w:r w:rsidR="00BB6E01">
        <w:rPr>
          <w:rFonts w:ascii="Times New Roman" w:hAnsi="Times New Roman"/>
          <w:sz w:val="24"/>
          <w:szCs w:val="24"/>
        </w:rPr>
        <w:t>ОУ</w:t>
      </w:r>
      <w:r w:rsidRPr="00A748F4">
        <w:rPr>
          <w:rFonts w:ascii="Times New Roman" w:hAnsi="Times New Roman"/>
          <w:sz w:val="24"/>
          <w:szCs w:val="24"/>
        </w:rPr>
        <w:t xml:space="preserve">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</w:t>
      </w:r>
      <w:proofErr w:type="gramStart"/>
      <w:r w:rsidRPr="00A748F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A748F4">
        <w:rPr>
          <w:rFonts w:ascii="Times New Roman" w:hAnsi="Times New Roman"/>
          <w:sz w:val="24"/>
          <w:szCs w:val="24"/>
        </w:rPr>
        <w:t>ых</w:t>
      </w:r>
      <w:proofErr w:type="spellEnd"/>
      <w:r w:rsidRPr="00A748F4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A748F4">
        <w:rPr>
          <w:rFonts w:ascii="Times New Roman" w:hAnsi="Times New Roman"/>
          <w:sz w:val="24"/>
          <w:szCs w:val="24"/>
        </w:rPr>
        <w:t>ов</w:t>
      </w:r>
      <w:proofErr w:type="spellEnd"/>
      <w:r w:rsidRPr="00A748F4">
        <w:rPr>
          <w:rFonts w:ascii="Times New Roman" w:hAnsi="Times New Roman"/>
          <w:sz w:val="24"/>
          <w:szCs w:val="24"/>
        </w:rPr>
        <w:t>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2F86">
        <w:rPr>
          <w:rFonts w:ascii="Times New Roman" w:hAnsi="Times New Roman"/>
          <w:sz w:val="24"/>
          <w:szCs w:val="24"/>
        </w:rPr>
        <w:lastRenderedPageBreak/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footnoteReference w:id="4"/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 xml:space="preserve">могут быть зачтены </w:t>
      </w:r>
      <w:proofErr w:type="spellStart"/>
      <w:r w:rsidR="00D75B9C" w:rsidRPr="00DD1FF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="00D75B9C" w:rsidRPr="00DD1FF3">
        <w:rPr>
          <w:rFonts w:ascii="Times New Roman" w:hAnsi="Times New Roman"/>
          <w:sz w:val="24"/>
          <w:szCs w:val="24"/>
        </w:rPr>
        <w:t xml:space="preserve">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</w:t>
      </w:r>
      <w:r w:rsidR="00BB6E01">
        <w:rPr>
          <w:rFonts w:ascii="Times New Roman" w:hAnsi="Times New Roman"/>
          <w:sz w:val="24"/>
          <w:szCs w:val="24"/>
        </w:rPr>
        <w:t>У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856ECE">
        <w:rPr>
          <w:rFonts w:ascii="Times New Roman" w:hAnsi="Times New Roman"/>
          <w:sz w:val="24"/>
          <w:szCs w:val="24"/>
        </w:rPr>
        <w:t xml:space="preserve">________________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 xml:space="preserve"> представителя администрации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, учителя – предметника данного класса и ассистента из числа педагогов того же цикла/предметной области, утвержденной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="004A3FCC"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8B3C7C">
        <w:rPr>
          <w:rStyle w:val="a9"/>
        </w:rPr>
        <w:footnoteReference w:id="5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3.8. Порядок использования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0D2B57" w:rsidRPr="00DD1A95" w:rsidRDefault="004A3FCC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деятельности в О</w:t>
      </w:r>
      <w:r w:rsidR="00BB6E01">
        <w:rPr>
          <w:rFonts w:ascii="Times New Roman" w:hAnsi="Times New Roman"/>
          <w:sz w:val="24"/>
          <w:szCs w:val="24"/>
        </w:rPr>
        <w:t xml:space="preserve">У </w:t>
      </w:r>
      <w:r w:rsidRPr="00A748F4">
        <w:rPr>
          <w:rFonts w:ascii="Times New Roman" w:hAnsi="Times New Roman"/>
          <w:sz w:val="24"/>
          <w:szCs w:val="24"/>
        </w:rPr>
        <w:t xml:space="preserve">не предусмотрена </w:t>
      </w:r>
      <w:r w:rsidR="000D2B57">
        <w:rPr>
          <w:rFonts w:ascii="Times New Roman" w:hAnsi="Times New Roman"/>
          <w:sz w:val="24"/>
          <w:szCs w:val="24"/>
        </w:rPr>
        <w:t xml:space="preserve">или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4.3. В следующий класс могут быть переведены обучающиеся, имеющие по итогам учебного года академическую </w:t>
      </w:r>
      <w:r w:rsidR="00F832D1">
        <w:rPr>
          <w:rFonts w:ascii="Times New Roman" w:hAnsi="Times New Roman"/>
          <w:sz w:val="24"/>
          <w:szCs w:val="24"/>
        </w:rPr>
        <w:t>задолженность по __________предмету(там)</w:t>
      </w:r>
      <w:r w:rsidRPr="008B3C7C">
        <w:rPr>
          <w:rStyle w:val="a9"/>
        </w:rPr>
        <w:footnoteReference w:id="6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болезнь обучающегося,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t>медицинской организации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8D5876" w:rsidRDefault="00DD1FF3" w:rsidP="008D587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траги</w:t>
      </w:r>
      <w:r w:rsidR="00262B0B"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="004A3FCC" w:rsidRPr="00A748F4">
        <w:rPr>
          <w:rFonts w:ascii="Times New Roman" w:hAnsi="Times New Roman"/>
          <w:sz w:val="24"/>
          <w:szCs w:val="24"/>
        </w:rPr>
        <w:t>характера</w:t>
      </w:r>
      <w:r w:rsidR="00FD1859">
        <w:rPr>
          <w:rFonts w:ascii="Times New Roman" w:hAnsi="Times New Roman"/>
          <w:sz w:val="24"/>
          <w:szCs w:val="24"/>
        </w:rPr>
        <w:t>;</w:t>
      </w:r>
    </w:p>
    <w:p w:rsidR="008D5876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8D5876" w:rsidRPr="00DD1FF3">
        <w:rPr>
          <w:rFonts w:ascii="Times New Roman" w:hAnsi="Times New Roman"/>
          <w:sz w:val="24"/>
          <w:szCs w:val="24"/>
        </w:rPr>
        <w:t xml:space="preserve">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4.4.3. условный перевод в следующий класс – это перевод обучающихся</w:t>
      </w:r>
      <w:r w:rsidR="00923B3D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 Права, обязанности участников образовательных отношений по ликвидации академической </w:t>
      </w:r>
      <w:r w:rsidRPr="00A748F4">
        <w:rPr>
          <w:rFonts w:ascii="Times New Roman" w:hAnsi="Times New Roman"/>
          <w:sz w:val="24"/>
          <w:szCs w:val="24"/>
        </w:rPr>
        <w:lastRenderedPageBreak/>
        <w:t>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;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>О</w:t>
      </w:r>
      <w:r w:rsidR="00BB6E01">
        <w:rPr>
          <w:rFonts w:ascii="Times New Roman" w:hAnsi="Times New Roman"/>
          <w:sz w:val="24"/>
          <w:szCs w:val="24"/>
        </w:rPr>
        <w:t>У</w:t>
      </w:r>
      <w:r w:rsidR="007E61FF" w:rsidRPr="00A748F4">
        <w:rPr>
          <w:rFonts w:ascii="Times New Roman" w:hAnsi="Times New Roman"/>
          <w:sz w:val="24"/>
          <w:szCs w:val="24"/>
        </w:rPr>
        <w:t xml:space="preserve"> (или структурного подразделения (</w:t>
      </w:r>
      <w:r w:rsidR="004A3FCC" w:rsidRPr="00A748F4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 w:rsidR="007E61FF" w:rsidRPr="00A748F4">
        <w:rPr>
          <w:rFonts w:ascii="Times New Roman" w:hAnsi="Times New Roman"/>
          <w:sz w:val="24"/>
          <w:szCs w:val="24"/>
        </w:rPr>
        <w:t>, кафедры)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 xml:space="preserve">бучающиеся, не ликвидировавшие в течение года с момента образования академической </w:t>
      </w:r>
      <w:r w:rsidRPr="00A748F4">
        <w:rPr>
          <w:rFonts w:ascii="Times New Roman" w:hAnsi="Times New Roman"/>
          <w:sz w:val="24"/>
          <w:szCs w:val="24"/>
        </w:rPr>
        <w:lastRenderedPageBreak/>
        <w:t>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88432E" w:rsidRDefault="00DD1FF3" w:rsidP="00BB6E0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</w:t>
      </w:r>
      <w:r w:rsidR="00BB6E01">
        <w:rPr>
          <w:rFonts w:ascii="Times New Roman" w:hAnsi="Times New Roman"/>
          <w:sz w:val="24"/>
          <w:szCs w:val="24"/>
        </w:rPr>
        <w:t>У.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обучающихся в связи с </w:t>
      </w:r>
      <w:proofErr w:type="spellStart"/>
      <w:r w:rsidRPr="00A748F4">
        <w:rPr>
          <w:rFonts w:ascii="Times New Roman" w:hAnsi="Times New Roman"/>
          <w:b/>
          <w:sz w:val="24"/>
          <w:szCs w:val="24"/>
        </w:rPr>
        <w:t>неаттестацией</w:t>
      </w:r>
      <w:proofErr w:type="spell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что ребенок не освоил программу обучения по учебному </w:t>
      </w:r>
      <w:r w:rsidR="004A3FCC" w:rsidRPr="005E3B46">
        <w:rPr>
          <w:rFonts w:ascii="Times New Roman" w:hAnsi="Times New Roman"/>
          <w:sz w:val="24"/>
          <w:szCs w:val="24"/>
        </w:rPr>
        <w:t>предмету/</w:t>
      </w:r>
      <w:r w:rsidR="005E3B46"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неусвоении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</w:t>
      </w:r>
      <w:r w:rsidR="00BB6E01">
        <w:rPr>
          <w:rFonts w:ascii="Times New Roman" w:hAnsi="Times New Roman"/>
          <w:sz w:val="24"/>
          <w:szCs w:val="24"/>
        </w:rPr>
        <w:t xml:space="preserve">У </w:t>
      </w:r>
      <w:r w:rsidRPr="00A748F4">
        <w:rPr>
          <w:rFonts w:ascii="Times New Roman" w:hAnsi="Times New Roman"/>
          <w:sz w:val="24"/>
          <w:szCs w:val="24"/>
        </w:rPr>
        <w:t>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расписанием/графиком, утвержденным руководителем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246D62">
        <w:rPr>
          <w:rFonts w:ascii="Times New Roman" w:hAnsi="Times New Roman"/>
          <w:sz w:val="24"/>
          <w:szCs w:val="24"/>
        </w:rPr>
        <w:t xml:space="preserve">___ 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(предметной кафедрой, структурным подразделением, администрацией);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</w:t>
      </w:r>
      <w:r w:rsidR="00BB6E01">
        <w:rPr>
          <w:rFonts w:ascii="Times New Roman" w:hAnsi="Times New Roman"/>
          <w:sz w:val="24"/>
          <w:szCs w:val="24"/>
        </w:rPr>
        <w:t>У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</w:t>
      </w:r>
      <w:r w:rsidR="00BB6E01">
        <w:rPr>
          <w:rFonts w:ascii="Times New Roman" w:hAnsi="Times New Roman"/>
          <w:sz w:val="24"/>
          <w:szCs w:val="24"/>
        </w:rPr>
        <w:t>У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указанных в п. 8.1.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 w:rsidR="005D7051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</w:t>
      </w:r>
      <w:r w:rsidR="00BB6E01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63" w:rsidRDefault="00475D63">
      <w:pPr>
        <w:spacing w:after="0" w:line="240" w:lineRule="auto"/>
      </w:pPr>
      <w:r>
        <w:separator/>
      </w:r>
    </w:p>
  </w:endnote>
  <w:endnote w:type="continuationSeparator" w:id="0">
    <w:p w:rsidR="00475D63" w:rsidRDefault="0047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63" w:rsidRDefault="00475D63">
      <w:pPr>
        <w:spacing w:after="0" w:line="240" w:lineRule="auto"/>
      </w:pPr>
      <w:r>
        <w:separator/>
      </w:r>
    </w:p>
  </w:footnote>
  <w:footnote w:type="continuationSeparator" w:id="0">
    <w:p w:rsidR="00475D63" w:rsidRDefault="00475D63">
      <w:pPr>
        <w:spacing w:after="0" w:line="240" w:lineRule="auto"/>
      </w:pPr>
      <w:r>
        <w:continuationSeparator/>
      </w:r>
    </w:p>
  </w:footnote>
  <w:footnote w:id="1">
    <w:p w:rsidR="006130CB" w:rsidRPr="006130CB" w:rsidRDefault="006130CB">
      <w:pPr>
        <w:pStyle w:val="af4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6130CB">
        <w:rPr>
          <w:rFonts w:ascii="Times New Roman" w:hAnsi="Times New Roman"/>
        </w:rPr>
        <w:t>Например, Положение о педагогическом совете</w:t>
      </w:r>
    </w:p>
  </w:footnote>
  <w:footnote w:id="2">
    <w:p w:rsidR="004A3FCC" w:rsidRPr="00DD1A95" w:rsidRDefault="004A3FCC">
      <w:pPr>
        <w:pStyle w:val="af4"/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 наличии</w:t>
      </w:r>
      <w:r w:rsidR="006074F9">
        <w:rPr>
          <w:rFonts w:ascii="Times New Roman" w:hAnsi="Times New Roman"/>
        </w:rPr>
        <w:t>.</w:t>
      </w:r>
    </w:p>
  </w:footnote>
  <w:footnote w:id="3">
    <w:p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B3C7C">
        <w:rPr>
          <w:rStyle w:val="a9"/>
        </w:rPr>
        <w:footnoteRef/>
      </w:r>
      <w:r w:rsidRPr="006C0A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>См. п</w:t>
      </w:r>
      <w:r w:rsidR="00D24E6F">
        <w:rPr>
          <w:rFonts w:ascii="Times New Roman" w:hAnsi="Times New Roman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 xml:space="preserve">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4">
    <w:p w:rsidR="00ED2FE3" w:rsidRPr="007852F3" w:rsidRDefault="00ED2FE3" w:rsidP="00ED2FE3">
      <w:pPr>
        <w:pStyle w:val="af4"/>
      </w:pPr>
      <w:r w:rsidRPr="008B3C7C"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7852F3">
        <w:rPr>
          <w:rFonts w:ascii="Times New Roman" w:hAnsi="Times New Roman"/>
        </w:rPr>
        <w:t>Указать нормы своего Положения об обучении на дому в О</w:t>
      </w:r>
      <w:r w:rsidR="0006574A">
        <w:rPr>
          <w:rFonts w:ascii="Times New Roman" w:hAnsi="Times New Roman"/>
        </w:rPr>
        <w:t>У</w:t>
      </w:r>
    </w:p>
  </w:footnote>
  <w:footnote w:id="5">
    <w:p w:rsidR="004A3FCC" w:rsidRPr="00DD1A95" w:rsidRDefault="004A3FCC">
      <w:pPr>
        <w:pStyle w:val="af4"/>
        <w:jc w:val="both"/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</w:rPr>
        <w:t xml:space="preserve"> </w:t>
      </w:r>
      <w:r w:rsidR="00885B11">
        <w:rPr>
          <w:rFonts w:ascii="Times New Roman" w:hAnsi="Times New Roman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</w:rPr>
        <w:t>.</w:t>
      </w:r>
    </w:p>
  </w:footnote>
  <w:footnote w:id="6">
    <w:p w:rsidR="004A3FCC" w:rsidRPr="00DD1A95" w:rsidRDefault="004A3FCC">
      <w:pPr>
        <w:pStyle w:val="af4"/>
        <w:jc w:val="both"/>
      </w:pPr>
      <w:r w:rsidRPr="008B3C7C">
        <w:rPr>
          <w:rStyle w:val="a9"/>
        </w:rPr>
        <w:footnoteRef/>
      </w:r>
      <w:r w:rsidR="0088432E">
        <w:rPr>
          <w:rFonts w:ascii="Arial" w:hAnsi="Arial" w:cs="Arial"/>
        </w:rPr>
        <w:t xml:space="preserve"> </w:t>
      </w:r>
      <w:r w:rsidR="00F832D1">
        <w:rPr>
          <w:rFonts w:ascii="Times New Roman" w:hAnsi="Times New Roman"/>
        </w:rPr>
        <w:t>Количество предметов определяется О</w:t>
      </w:r>
      <w:r w:rsidR="0006574A">
        <w:rPr>
          <w:rFonts w:ascii="Times New Roman" w:hAnsi="Times New Roman"/>
        </w:rPr>
        <w:t>У</w:t>
      </w:r>
      <w:r w:rsidR="00F832D1">
        <w:rPr>
          <w:rFonts w:ascii="Times New Roman" w:hAnsi="Times New Roman"/>
        </w:rPr>
        <w:t xml:space="preserve"> самостоятельно.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1A"/>
    <w:rsid w:val="00007C3D"/>
    <w:rsid w:val="0003434B"/>
    <w:rsid w:val="00035D1A"/>
    <w:rsid w:val="00060C75"/>
    <w:rsid w:val="0006574A"/>
    <w:rsid w:val="00066932"/>
    <w:rsid w:val="00086C80"/>
    <w:rsid w:val="000A687F"/>
    <w:rsid w:val="000B5B2A"/>
    <w:rsid w:val="000D2B57"/>
    <w:rsid w:val="0010715F"/>
    <w:rsid w:val="00140AB9"/>
    <w:rsid w:val="001461CB"/>
    <w:rsid w:val="0015553A"/>
    <w:rsid w:val="00165FD1"/>
    <w:rsid w:val="001764FF"/>
    <w:rsid w:val="001958A3"/>
    <w:rsid w:val="001D3271"/>
    <w:rsid w:val="00246D62"/>
    <w:rsid w:val="00262B0B"/>
    <w:rsid w:val="002A4B03"/>
    <w:rsid w:val="002E3865"/>
    <w:rsid w:val="0032228C"/>
    <w:rsid w:val="00327F06"/>
    <w:rsid w:val="00342197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75D63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464BE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20154"/>
    <w:rsid w:val="00723A0D"/>
    <w:rsid w:val="007477C6"/>
    <w:rsid w:val="0075151A"/>
    <w:rsid w:val="00772C65"/>
    <w:rsid w:val="007852F3"/>
    <w:rsid w:val="007A688F"/>
    <w:rsid w:val="007B2EAF"/>
    <w:rsid w:val="007E61FF"/>
    <w:rsid w:val="007E6BED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2182"/>
    <w:rsid w:val="00902AD4"/>
    <w:rsid w:val="00923B3D"/>
    <w:rsid w:val="00927410"/>
    <w:rsid w:val="009436B9"/>
    <w:rsid w:val="009717DC"/>
    <w:rsid w:val="009E58CF"/>
    <w:rsid w:val="009F3650"/>
    <w:rsid w:val="00A147B4"/>
    <w:rsid w:val="00A21E96"/>
    <w:rsid w:val="00A31DAD"/>
    <w:rsid w:val="00A748F4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3559F"/>
    <w:rsid w:val="00B8118A"/>
    <w:rsid w:val="00B83C71"/>
    <w:rsid w:val="00B9239C"/>
    <w:rsid w:val="00BA65E1"/>
    <w:rsid w:val="00BB6E01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сноски Знак"/>
    <w:uiPriority w:val="99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"/>
  </w:style>
  <w:style w:type="character" w:customStyle="1" w:styleId="f">
    <w:name w:val="f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uiPriority w:val="99"/>
    <w:pPr>
      <w:spacing w:after="0" w:line="240" w:lineRule="auto"/>
    </w:pPr>
  </w:style>
  <w:style w:type="paragraph" w:styleId="af2">
    <w:name w:val="List Paragraph"/>
    <w:basedOn w:val="a"/>
    <w:qFormat/>
    <w:pPr>
      <w:ind w:left="720"/>
    </w:pPr>
    <w:rPr>
      <w:rFonts w:eastAsia="Calibri"/>
    </w:r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uiPriority w:val="99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4061-C494-4DD8-B5B9-C35ED59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6</cp:revision>
  <cp:lastPrinted>2016-02-15T10:58:00Z</cp:lastPrinted>
  <dcterms:created xsi:type="dcterms:W3CDTF">2016-01-11T21:24:00Z</dcterms:created>
  <dcterms:modified xsi:type="dcterms:W3CDTF">2016-02-29T08:31:00Z</dcterms:modified>
</cp:coreProperties>
</file>